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A326D" w14:textId="77777777" w:rsidR="00EF65BB" w:rsidRPr="0078258D" w:rsidRDefault="00EF65BB">
      <w:pPr>
        <w:rPr>
          <w:b/>
        </w:rPr>
      </w:pPr>
    </w:p>
    <w:p w14:paraId="1C6D6A86" w14:textId="482F9CD5" w:rsidR="00EF65BB" w:rsidRPr="0078258D" w:rsidRDefault="00EF65BB">
      <w:pPr>
        <w:rPr>
          <w:rFonts w:cs="Arial"/>
          <w:sz w:val="24"/>
          <w:szCs w:val="24"/>
        </w:rPr>
      </w:pPr>
      <w:r w:rsidRPr="0078258D">
        <w:rPr>
          <w:rFonts w:cs="Arial"/>
          <w:b/>
          <w:sz w:val="24"/>
          <w:szCs w:val="24"/>
        </w:rPr>
        <w:t xml:space="preserve">Koncepce rizikové analýzy z pohledu erozního ohrožení území při zohlednění očekávané změny klimatu ve vztahu k ochraně sídel, obyvatel a vodních útvarů </w:t>
      </w:r>
      <w:r w:rsidRPr="0078258D">
        <w:rPr>
          <w:rFonts w:cs="Arial"/>
          <w:sz w:val="24"/>
          <w:szCs w:val="24"/>
        </w:rPr>
        <w:t>- výsledky promítnuté do směrnic a předpisů nelegislativní povahy (</w:t>
      </w:r>
      <w:proofErr w:type="spellStart"/>
      <w:r w:rsidRPr="0078258D">
        <w:rPr>
          <w:rFonts w:cs="Arial"/>
          <w:sz w:val="24"/>
          <w:szCs w:val="24"/>
        </w:rPr>
        <w:t>H</w:t>
      </w:r>
      <w:r w:rsidRPr="0078258D">
        <w:rPr>
          <w:rFonts w:cs="Arial"/>
          <w:sz w:val="24"/>
          <w:szCs w:val="24"/>
          <w:vertAlign w:val="subscript"/>
        </w:rPr>
        <w:t>neleg</w:t>
      </w:r>
      <w:proofErr w:type="spellEnd"/>
      <w:r w:rsidRPr="0078258D">
        <w:rPr>
          <w:rFonts w:cs="Arial"/>
          <w:sz w:val="24"/>
          <w:szCs w:val="24"/>
        </w:rPr>
        <w:t>)</w:t>
      </w:r>
    </w:p>
    <w:p w14:paraId="65A06F1E" w14:textId="77777777" w:rsidR="00EF65BB" w:rsidRPr="0078258D" w:rsidRDefault="00EF65BB" w:rsidP="0078258D"/>
    <w:p w14:paraId="157834E8" w14:textId="779D93AB" w:rsidR="00EF65BB" w:rsidRPr="0078258D" w:rsidRDefault="00EF65BB" w:rsidP="0078258D">
      <w:pPr>
        <w:jc w:val="both"/>
      </w:pPr>
      <w:r w:rsidRPr="0078258D">
        <w:t>Tento výsledek projektu byl v průběhu řešení nově specifikován dodatkem č. 1 k původní smlouvě o</w:t>
      </w:r>
      <w:r w:rsidR="0078258D">
        <w:t> </w:t>
      </w:r>
      <w:r w:rsidRPr="0078258D">
        <w:t xml:space="preserve">poskytnutí podpory na řešení projektu VG20122015. </w:t>
      </w:r>
    </w:p>
    <w:p w14:paraId="6AAADFDA" w14:textId="68C4AEB8" w:rsidR="00EF65BB" w:rsidRPr="0078258D" w:rsidRDefault="00EF65BB" w:rsidP="0078258D">
      <w:pPr>
        <w:jc w:val="both"/>
      </w:pPr>
      <w:r w:rsidRPr="0078258D">
        <w:t>Při věcné kontrole pro</w:t>
      </w:r>
      <w:bookmarkStart w:id="0" w:name="_GoBack"/>
      <w:bookmarkEnd w:id="0"/>
      <w:r w:rsidRPr="0078258D">
        <w:t>jektu v roce 2013 bylo s poskytovatelem dohodnuto, že tento výsledek bude zpracován po dohodě s Ministerstvem životního prostředí, odborem bezpečnosti a krizového řízení jako podklad pro aktualizaci Koncepce environmentální bezpečnosti.</w:t>
      </w:r>
    </w:p>
    <w:p w14:paraId="7C7109CC" w14:textId="53A26EDE" w:rsidR="00EF65BB" w:rsidRPr="0078258D" w:rsidRDefault="00EF65BB" w:rsidP="0078258D">
      <w:pPr>
        <w:jc w:val="both"/>
      </w:pPr>
      <w:r w:rsidRPr="0078258D">
        <w:t xml:space="preserve">Řešitelé projektu </w:t>
      </w:r>
      <w:r w:rsidR="0078258D" w:rsidRPr="0078258D">
        <w:t xml:space="preserve">jednali v této věci s MUDr. Marií Adámkovou, CSc. </w:t>
      </w:r>
      <w:r w:rsidR="00DA19C7">
        <w:t>(MŽP,</w:t>
      </w:r>
      <w:r w:rsidR="00DA19C7" w:rsidRPr="0078258D">
        <w:t xml:space="preserve"> odbor bezpečnosti a krizového řízení</w:t>
      </w:r>
      <w:r w:rsidR="00DA19C7">
        <w:t>)</w:t>
      </w:r>
      <w:r w:rsidR="00DA19C7" w:rsidRPr="0078258D">
        <w:t xml:space="preserve"> </w:t>
      </w:r>
      <w:r w:rsidR="0078258D" w:rsidRPr="0078258D">
        <w:t>a průběžně jí připravovali podklady a doplňující informace do kapitoly, týkající se extrémních meteorologických jevů. V průběhu roku 2014 byl připraven první návrh textů, které byly poté revidovány a upravovány do požadované struktury i na začátku roku 2015. Finální text předan</w:t>
      </w:r>
      <w:r w:rsidR="00DA19C7">
        <w:t>ý</w:t>
      </w:r>
      <w:r w:rsidR="0078258D" w:rsidRPr="0078258D">
        <w:t xml:space="preserve"> MŽP pro využití při aktualizaci Koncepce environmentální bezpečnosti je uveden na stránkách 2-5 této přílohy </w:t>
      </w:r>
    </w:p>
    <w:p w14:paraId="56D3C6A3" w14:textId="4C4413E9" w:rsidR="00EF65BB" w:rsidRDefault="0078258D" w:rsidP="0078258D">
      <w:pPr>
        <w:jc w:val="both"/>
      </w:pPr>
      <w:r w:rsidRPr="0078258D">
        <w:t>Aktualizace Koncepce environmentální bezpečnosti, a to na období 2016-2020 s výhledem do roku 2030,</w:t>
      </w:r>
      <w:r>
        <w:t xml:space="preserve"> do které byly začleněny podklady zpracované v rámci projektu VG20122015092,</w:t>
      </w:r>
      <w:r w:rsidRPr="0078258D">
        <w:t xml:space="preserve"> byla projednána Bezpečnostní radou státu a schválena usnesením č. 11 dne </w:t>
      </w:r>
      <w:proofErr w:type="gramStart"/>
      <w:r w:rsidRPr="0078258D">
        <w:t>18.1.2016</w:t>
      </w:r>
      <w:proofErr w:type="gramEnd"/>
      <w:r w:rsidRPr="0078258D">
        <w:t>.</w:t>
      </w:r>
    </w:p>
    <w:p w14:paraId="4859F804" w14:textId="61FDDACE" w:rsidR="00C33BAB" w:rsidRDefault="00C33BAB" w:rsidP="0078258D">
      <w:pPr>
        <w:jc w:val="both"/>
      </w:pPr>
      <w:r>
        <w:t xml:space="preserve">Na konci přílohy je zařazen potvrzující dopis ředitele </w:t>
      </w:r>
      <w:r w:rsidRPr="0078258D">
        <w:t>odbor</w:t>
      </w:r>
      <w:r>
        <w:t>u</w:t>
      </w:r>
      <w:r w:rsidRPr="0078258D">
        <w:t xml:space="preserve"> bezpečnosti a krizového řízení</w:t>
      </w:r>
      <w:r>
        <w:t xml:space="preserve"> MŽP Ing. Jiřího Bednáře, který potvrzuje využití výsledků projektu při Aktualizaci Koncepce environmentální bezpečnosti.</w:t>
      </w:r>
    </w:p>
    <w:p w14:paraId="3E8C8081" w14:textId="77777777" w:rsidR="00C33BAB" w:rsidRPr="0078258D" w:rsidRDefault="00C33BAB" w:rsidP="0078258D">
      <w:pPr>
        <w:jc w:val="both"/>
      </w:pPr>
    </w:p>
    <w:p w14:paraId="03FDC4E3" w14:textId="77777777" w:rsidR="00EF65BB" w:rsidRPr="0078258D" w:rsidRDefault="00EF65BB">
      <w:r w:rsidRPr="0078258D">
        <w:br w:type="page"/>
      </w:r>
    </w:p>
    <w:p w14:paraId="6215CD8C" w14:textId="2C9C51E0" w:rsidR="0071538D" w:rsidRPr="0054569E" w:rsidRDefault="0054569E">
      <w:pPr>
        <w:rPr>
          <w:b/>
        </w:rPr>
      </w:pPr>
      <w:r w:rsidRPr="0054569E">
        <w:rPr>
          <w:b/>
        </w:rPr>
        <w:lastRenderedPageBreak/>
        <w:t>2/2.4 Extrémní meteorologické jevy</w:t>
      </w:r>
    </w:p>
    <w:p w14:paraId="797B51F7" w14:textId="77777777" w:rsidR="00DC36AA" w:rsidRPr="00340509" w:rsidRDefault="00DC36AA" w:rsidP="00DC36AA">
      <w:pPr>
        <w:rPr>
          <w:b/>
        </w:rPr>
      </w:pPr>
      <w:r>
        <w:rPr>
          <w:b/>
        </w:rPr>
        <w:t>Současný stav</w:t>
      </w:r>
    </w:p>
    <w:p w14:paraId="0B047655" w14:textId="77777777" w:rsidR="0054569E" w:rsidRPr="0054569E" w:rsidRDefault="0054569E">
      <w:pPr>
        <w:rPr>
          <w:b/>
        </w:rPr>
      </w:pPr>
      <w:r w:rsidRPr="0054569E">
        <w:rPr>
          <w:b/>
        </w:rPr>
        <w:t>Přívalové srážky spojené s erozí půdy a transportem sediment</w:t>
      </w:r>
      <w:r w:rsidR="00F51F1F">
        <w:rPr>
          <w:b/>
        </w:rPr>
        <w:t>u</w:t>
      </w:r>
    </w:p>
    <w:p w14:paraId="453C4942" w14:textId="232E9F20" w:rsidR="0054569E" w:rsidRDefault="0054569E">
      <w:r>
        <w:t xml:space="preserve">Přívalové srážky jsou </w:t>
      </w:r>
      <w:r w:rsidR="00CC2C10">
        <w:t xml:space="preserve">charakteristické velmi silnou intenzitou deště a jsou spojené s velmi rychlým vzestupem hladiny vody a jejím následným rychlým poklesem. </w:t>
      </w:r>
      <w:r w:rsidR="007378CC">
        <w:t xml:space="preserve">V ploše povodí zároveň často dochází k intenzivní tvorbě přímého odtoku. </w:t>
      </w:r>
      <w:r w:rsidR="00CC2C10">
        <w:t>Vznikají zejména při charakteristickém vývoji konvekční oblačnosti a převažují v teplejších obdobích roku. Obvykle zasahují velmi malé území a jejich výskyt je silně nahodilý, takže je velmi obtížné předpovědět konkrétní zasaženou oblast.</w:t>
      </w:r>
    </w:p>
    <w:p w14:paraId="34D35387" w14:textId="14BEB35F" w:rsidR="00CC2C10" w:rsidRDefault="00CC2C10">
      <w:r>
        <w:t xml:space="preserve">Podle typu zasaženého území mohou přívalové srážky vyvolat </w:t>
      </w:r>
      <w:r w:rsidR="002D1142">
        <w:t xml:space="preserve">přívalové </w:t>
      </w:r>
      <w:r w:rsidR="00340509">
        <w:t>povodně, intenzivní erozi půdy s poškozením porostů a rizikem</w:t>
      </w:r>
      <w:r w:rsidR="003B0B68">
        <w:t xml:space="preserve"> intenzivního</w:t>
      </w:r>
      <w:r w:rsidR="00340509">
        <w:t xml:space="preserve"> transportu </w:t>
      </w:r>
      <w:r w:rsidR="003B0B68">
        <w:t>erozních splavenin</w:t>
      </w:r>
      <w:r w:rsidR="00340509">
        <w:t xml:space="preserve"> územím. </w:t>
      </w:r>
      <w:r w:rsidR="003B0B68">
        <w:t>Transportovaným erozním materiálem</w:t>
      </w:r>
      <w:r w:rsidR="00340509">
        <w:t xml:space="preserve"> mohou být ohrožena sídla, prvky kritické infrastruktury, přírodní nebo kulturní památky. S očekávanou změnou klimatu, kdy nejnovější výzkumy ukazují, že </w:t>
      </w:r>
      <w:r w:rsidR="002D1142">
        <w:t xml:space="preserve">intenzita extrémních </w:t>
      </w:r>
      <w:r w:rsidR="00340509">
        <w:t xml:space="preserve">srážek </w:t>
      </w:r>
      <w:r w:rsidR="002D1142">
        <w:t xml:space="preserve">by </w:t>
      </w:r>
      <w:r w:rsidR="00340509">
        <w:t xml:space="preserve">se </w:t>
      </w:r>
      <w:r w:rsidR="002D1142">
        <w:t>s rostoucí teplotou mohla systematicky zvyšovat</w:t>
      </w:r>
      <w:r w:rsidR="00340509">
        <w:t>, se riziko těchto jevů zvyšuje a může nově postihnout i území, která dosud zasažena nebyla</w:t>
      </w:r>
      <w:r w:rsidR="003B0B68">
        <w:t>, resp. může se dramaticky zvyšovat jejich intenzita</w:t>
      </w:r>
      <w:r w:rsidR="00340509">
        <w:t>.</w:t>
      </w:r>
    </w:p>
    <w:p w14:paraId="2A3820C2" w14:textId="77777777" w:rsidR="00340509" w:rsidRDefault="005B1B33">
      <w:r>
        <w:t xml:space="preserve">Vedle výše popsaných rizik se mohou přívalové srážky spojené s erozí půdy negativně projevit na znehodnocení vodních zdrojů sloužících pro odběry vody pro úpravu na vodu pitnou nebo negativně postihnout citlivé vodní ekosystémy. Velké riziko hrozí zejména v případě transportu některých přípravků na ochranu rostlin (zejména pesticidů) ze zemědělských pozemků. Určité riziko je spojeno také s uvolňováním </w:t>
      </w:r>
      <w:proofErr w:type="spellStart"/>
      <w:r>
        <w:t>nutrientů</w:t>
      </w:r>
      <w:proofErr w:type="spellEnd"/>
      <w:r>
        <w:t xml:space="preserve"> </w:t>
      </w:r>
      <w:r w:rsidR="00EC1C04">
        <w:t xml:space="preserve">(zejména fosforu) </w:t>
      </w:r>
      <w:r>
        <w:t>z transportovaného sedimentu ve vodních nádržích a tocích a s tím spojená eutrofizace vodního prostředí.</w:t>
      </w:r>
    </w:p>
    <w:p w14:paraId="464D8D97" w14:textId="37A515B3" w:rsidR="00340509" w:rsidRDefault="00DC36AA">
      <w:r>
        <w:t>Vzhledem k nemožnosti předpovědět místo, čas, intenzitu a trvání přívalových srážek, je nutné se při preven</w:t>
      </w:r>
      <w:r w:rsidR="00F51F1F">
        <w:t xml:space="preserve">ci krizových situací zaměřit na </w:t>
      </w:r>
      <w:r w:rsidR="003B0B68">
        <w:t xml:space="preserve">prevenci, spočívající v </w:t>
      </w:r>
      <w:r w:rsidR="00F51F1F">
        <w:t>analýz</w:t>
      </w:r>
      <w:r w:rsidR="003B0B68">
        <w:t>e</w:t>
      </w:r>
      <w:r w:rsidR="00F51F1F">
        <w:t xml:space="preserve"> kritických bodů, kde</w:t>
      </w:r>
      <w:r w:rsidR="002751D1">
        <w:t xml:space="preserve"> by</w:t>
      </w:r>
      <w:r w:rsidR="00F51F1F">
        <w:t xml:space="preserve"> vlivem souběhu nepříznivých podmínek (morfologie terénu, způsob využití zemědělských ploch, přítomnosti sídel, kritické infrastruktury apod.) </w:t>
      </w:r>
      <w:r w:rsidR="002751D1">
        <w:t>byly dopady přívalových srážek pravděpodobně nejzávažnější</w:t>
      </w:r>
      <w:r w:rsidR="00F51F1F">
        <w:t>. V</w:t>
      </w:r>
      <w:r w:rsidR="007378CC">
        <w:t> </w:t>
      </w:r>
      <w:r w:rsidR="00F51F1F">
        <w:t xml:space="preserve">této analýze musí být také zohledněny možné dopady klimatické změny na extremitu srážek v  České </w:t>
      </w:r>
      <w:r w:rsidR="002751D1">
        <w:t>republice</w:t>
      </w:r>
      <w:r w:rsidR="00F51F1F">
        <w:t>.</w:t>
      </w:r>
    </w:p>
    <w:p w14:paraId="283DAEE7" w14:textId="77777777" w:rsidR="00F51F1F" w:rsidRDefault="000E63E3">
      <w:r>
        <w:t>Součástí opatření, která mohou zmírnit rizika spojená s erozí půdy a transportem sedimentu vyvolaných přívalovými srážkami, by měla být opatření, která pomohou v kritickém území eliminovat rizika tvorby povrchového odtoku a eroze půdy a pomohou zpomalit odtok a snížit množství vody odtékající z území.</w:t>
      </w:r>
    </w:p>
    <w:p w14:paraId="616B8D9C" w14:textId="77777777" w:rsidR="00340509" w:rsidRPr="00340509" w:rsidRDefault="00340509">
      <w:pPr>
        <w:rPr>
          <w:b/>
        </w:rPr>
      </w:pPr>
      <w:r w:rsidRPr="00340509">
        <w:rPr>
          <w:b/>
        </w:rPr>
        <w:t>Legislativní nástroje</w:t>
      </w:r>
    </w:p>
    <w:p w14:paraId="762494A0" w14:textId="77777777" w:rsidR="009B04B8" w:rsidRDefault="009B04B8" w:rsidP="009B04B8">
      <w:r>
        <w:t xml:space="preserve">Na základě zmocnění vodního zákona </w:t>
      </w:r>
      <w:r>
        <w:rPr>
          <w:rStyle w:val="Znakapoznpodarou"/>
        </w:rPr>
        <w:footnoteReference w:id="1"/>
      </w:r>
      <w:r>
        <w:t xml:space="preserve"> a metodického pokynu </w:t>
      </w:r>
      <w:r>
        <w:rPr>
          <w:rStyle w:val="Znakapoznpodarou"/>
        </w:rPr>
        <w:footnoteReference w:id="2"/>
      </w:r>
      <w:r>
        <w:t xml:space="preserve"> zajišťuje Český hydrometeorologický ústav (ČHMÚ) v rámci předpovědní povodňové služby prostřednictvím webové aplikace Hlásné a předpovědní povodňové služby (HPPS) včasné varování před výskytem přívalových srážek a rizikem přívalových povodní.</w:t>
      </w:r>
    </w:p>
    <w:p w14:paraId="7466C119" w14:textId="77777777" w:rsidR="00340509" w:rsidRDefault="00061CA4">
      <w:r>
        <w:lastRenderedPageBreak/>
        <w:t xml:space="preserve">V územích ohrožených přívalovými srážkami mohou být v případě potřeby budovány Lokální výstražné systémy (LVS) podle metodického pokynu odboru ochrany vod MŽP k zabezpečení </w:t>
      </w:r>
      <w:r w:rsidR="0054539F">
        <w:t xml:space="preserve">hlásné </w:t>
      </w:r>
      <w:r>
        <w:t xml:space="preserve">a předpovědní povodňové služby </w:t>
      </w:r>
      <w:r>
        <w:rPr>
          <w:rStyle w:val="Znakapoznpodarou"/>
        </w:rPr>
        <w:footnoteReference w:id="3"/>
      </w:r>
      <w:r>
        <w:t>.</w:t>
      </w:r>
    </w:p>
    <w:p w14:paraId="250AC968" w14:textId="77777777" w:rsidR="005C3949" w:rsidRDefault="001471C6">
      <w:r>
        <w:t xml:space="preserve">Nakládání s půdou a její ochranu upravuje zákon o ochraně zemědělského půdního fondu </w:t>
      </w:r>
      <w:r>
        <w:rPr>
          <w:rStyle w:val="Znakapoznpodarou"/>
        </w:rPr>
        <w:footnoteReference w:id="4"/>
      </w:r>
      <w:r>
        <w:t xml:space="preserve">. Problematikou ochrany půdy před erozí se zabývají také některé předpisy EU </w:t>
      </w:r>
      <w:r>
        <w:rPr>
          <w:rStyle w:val="Znakapoznpodarou"/>
        </w:rPr>
        <w:footnoteReference w:id="5"/>
      </w:r>
      <w:r>
        <w:t xml:space="preserve">  </w:t>
      </w:r>
      <w:r w:rsidR="005C3949">
        <w:rPr>
          <w:rStyle w:val="Znakapoznpodarou"/>
        </w:rPr>
        <w:footnoteReference w:id="6"/>
      </w:r>
      <w:r w:rsidR="005C3949">
        <w:t xml:space="preserve">. Ke zmírnění </w:t>
      </w:r>
      <w:r w:rsidR="00525246">
        <w:t xml:space="preserve">některých nepříznivých </w:t>
      </w:r>
      <w:r w:rsidR="005C3949">
        <w:t xml:space="preserve">důsledků zemědělského hospodaření </w:t>
      </w:r>
      <w:r w:rsidR="00525246">
        <w:t xml:space="preserve">je vyplácení přímých finančních podpor a některých dotací podmíněno dodržováním národních i evropských požadavků a standardů. Systém označovaný jako Kontrola podmíněnosti </w:t>
      </w:r>
      <w:r w:rsidR="00525246" w:rsidRPr="005C3949">
        <w:t>(</w:t>
      </w:r>
      <w:proofErr w:type="spellStart"/>
      <w:r w:rsidR="00525246" w:rsidRPr="005C3949">
        <w:t>Cross</w:t>
      </w:r>
      <w:proofErr w:type="spellEnd"/>
      <w:r w:rsidR="00525246" w:rsidRPr="005C3949">
        <w:t xml:space="preserve"> </w:t>
      </w:r>
      <w:proofErr w:type="spellStart"/>
      <w:r w:rsidR="00525246" w:rsidRPr="005C3949">
        <w:t>Compliance</w:t>
      </w:r>
      <w:proofErr w:type="spellEnd"/>
      <w:r w:rsidR="00525246" w:rsidRPr="005C3949">
        <w:t>)</w:t>
      </w:r>
      <w:r w:rsidR="00525246">
        <w:t xml:space="preserve"> je upraven nařízením vlády </w:t>
      </w:r>
      <w:r w:rsidR="00525246">
        <w:rPr>
          <w:rStyle w:val="Znakapoznpodarou"/>
        </w:rPr>
        <w:footnoteReference w:id="7"/>
      </w:r>
      <w:r w:rsidR="00525246">
        <w:t>.</w:t>
      </w:r>
    </w:p>
    <w:p w14:paraId="29DD4EDC" w14:textId="77777777" w:rsidR="005C3949" w:rsidRDefault="005C3949">
      <w:r>
        <w:t xml:space="preserve">K ochraně před erozí a jejími nepříznivými účinky přispívají také </w:t>
      </w:r>
      <w:r w:rsidR="001471C6">
        <w:t>standardy Dobrého zemědělského a</w:t>
      </w:r>
      <w:r w:rsidR="009B04B8">
        <w:t> </w:t>
      </w:r>
      <w:r w:rsidR="001471C6">
        <w:t>environmentálního stavu (GAEC</w:t>
      </w:r>
      <w:r w:rsidR="006D11EE">
        <w:t xml:space="preserve"> 1 a GAEC 2</w:t>
      </w:r>
      <w:r w:rsidR="001471C6">
        <w:t>)</w:t>
      </w:r>
      <w:r>
        <w:t>. Standardy GAEC</w:t>
      </w:r>
      <w:r w:rsidRPr="005C3949">
        <w:t xml:space="preserve"> zajišťují zemědělské hospodaření ve shodě s</w:t>
      </w:r>
      <w:r>
        <w:t> </w:t>
      </w:r>
      <w:r w:rsidRPr="005C3949">
        <w:t>ochranou životního prostředí a jsou součástí Kontroly podmíněnosti (</w:t>
      </w:r>
      <w:proofErr w:type="spellStart"/>
      <w:r w:rsidRPr="005C3949">
        <w:t>Cross</w:t>
      </w:r>
      <w:proofErr w:type="spellEnd"/>
      <w:r w:rsidRPr="005C3949">
        <w:t xml:space="preserve"> </w:t>
      </w:r>
      <w:proofErr w:type="spellStart"/>
      <w:r w:rsidRPr="005C3949">
        <w:t>Compliance</w:t>
      </w:r>
      <w:proofErr w:type="spellEnd"/>
      <w:r w:rsidRPr="005C3949">
        <w:t xml:space="preserve">). </w:t>
      </w:r>
      <w:r w:rsidR="006D11EE">
        <w:t>Jejich plnění nicméně nezaručuje zajištění ochrany obyvatelstva, území ani složek životního prostředí, neboť tolerované hranice jsou nastaveny z hledisek ekonomických a nikoliv přísně funkčních.</w:t>
      </w:r>
    </w:p>
    <w:p w14:paraId="2A270A9E" w14:textId="77777777" w:rsidR="00525246" w:rsidRDefault="00525246">
      <w:r>
        <w:t>Významným nástrojem ke snížení rizika eroze půdy, ochrany životního prostředí</w:t>
      </w:r>
      <w:r w:rsidR="009B04B8">
        <w:t>,</w:t>
      </w:r>
      <w:r>
        <w:t xml:space="preserve"> ochraně obyvatel </w:t>
      </w:r>
      <w:r w:rsidR="009B04B8">
        <w:t xml:space="preserve">a zvýšení ekologické stability krajiny </w:t>
      </w:r>
      <w:r>
        <w:t xml:space="preserve">před nepříznivými vlivy </w:t>
      </w:r>
      <w:r w:rsidR="009B04B8">
        <w:t xml:space="preserve">zemědělského hospodaření, jsou </w:t>
      </w:r>
      <w:r w:rsidR="006D11EE">
        <w:t xml:space="preserve">komplexní </w:t>
      </w:r>
      <w:r w:rsidR="009B04B8">
        <w:t xml:space="preserve">pozemkové úpravy, jejichž provádění je upraveno zákonem </w:t>
      </w:r>
      <w:r w:rsidR="009B04B8">
        <w:rPr>
          <w:rStyle w:val="Znakapoznpodarou"/>
        </w:rPr>
        <w:footnoteReference w:id="8"/>
      </w:r>
    </w:p>
    <w:p w14:paraId="36CF07D2" w14:textId="77777777" w:rsidR="00340509" w:rsidRPr="00340509" w:rsidRDefault="00340509">
      <w:pPr>
        <w:rPr>
          <w:b/>
        </w:rPr>
      </w:pPr>
      <w:r w:rsidRPr="00340509">
        <w:rPr>
          <w:b/>
        </w:rPr>
        <w:t>Ekonomické nástroje</w:t>
      </w:r>
    </w:p>
    <w:p w14:paraId="3F6BD483" w14:textId="77777777" w:rsidR="00340509" w:rsidRDefault="005C3949">
      <w:r>
        <w:t xml:space="preserve">Od 1. 1. 2009 je v České republice vyplácení přímých podpor zemědělcům a dalších vybraných dotací podmíněno plněním standardů udržování půdy v Dobrém zemědělském a environmentálním stavu, dodržováním povinných požadavků v oblasti životního prostředí, veřejného zdraví, zdraví zvířat a zdraví rostlin, dobrých životních podmínek zvířat a minimálních požadavků v rámci </w:t>
      </w:r>
      <w:proofErr w:type="spellStart"/>
      <w:r>
        <w:t>agroenvironmentálních</w:t>
      </w:r>
      <w:proofErr w:type="spellEnd"/>
      <w:r>
        <w:t xml:space="preserve"> opatření. </w:t>
      </w:r>
      <w:r w:rsidRPr="005C3949">
        <w:t>Hospodaření v souladu se standardy GAEC je jednou z podmínek poskytnutí plné výše přímých podpor</w:t>
      </w:r>
      <w:r>
        <w:t xml:space="preserve"> pro zemědělské subjekty</w:t>
      </w:r>
      <w:r w:rsidR="004979AA">
        <w:t xml:space="preserve"> a</w:t>
      </w:r>
      <w:r w:rsidRPr="005C3949">
        <w:t xml:space="preserve"> některých podpor Programu rozvoje venkova (Osa II).</w:t>
      </w:r>
      <w:r w:rsidR="006D11EE">
        <w:t xml:space="preserve"> Další nástroje, především hmotná odpovědnost zemědělských subjektů za škody vzniklé díky zvýšenému povrchovému odtoku a transportu splavenin následkem nevhodného způsobu hospodaření by měla nastavit chystaná prováděcí vyhláška k zákonu 334/1992 Sb. o ochraně zemědělského půdního fondu.</w:t>
      </w:r>
    </w:p>
    <w:p w14:paraId="26C47B89" w14:textId="77777777" w:rsidR="005D33F6" w:rsidRDefault="005D33F6">
      <w:pPr>
        <w:rPr>
          <w:b/>
        </w:rPr>
      </w:pPr>
      <w:r>
        <w:rPr>
          <w:b/>
        </w:rPr>
        <w:br w:type="page"/>
      </w:r>
    </w:p>
    <w:p w14:paraId="5AC3F75B" w14:textId="77777777" w:rsidR="00340509" w:rsidRDefault="00340509">
      <w:pPr>
        <w:rPr>
          <w:b/>
        </w:rPr>
      </w:pPr>
      <w:r w:rsidRPr="00340509">
        <w:rPr>
          <w:b/>
        </w:rPr>
        <w:lastRenderedPageBreak/>
        <w:t>Institucionální nástroje</w:t>
      </w:r>
    </w:p>
    <w:p w14:paraId="2AF54DEE" w14:textId="77777777" w:rsidR="00737139" w:rsidRDefault="00737139">
      <w:r>
        <w:t xml:space="preserve">Predikci výskytu přívalových povodní provádí pomocí </w:t>
      </w:r>
      <w:r w:rsidRPr="00B175B1">
        <w:t>Systému FFG-CZ – Indikátoru přívalových povodní</w:t>
      </w:r>
      <w:r>
        <w:t xml:space="preserve"> </w:t>
      </w:r>
      <w:r w:rsidRPr="00B175B1">
        <w:t>Č</w:t>
      </w:r>
      <w:r>
        <w:t xml:space="preserve">eský hydrometeorologický ústav (ČHMÚ) v rámci </w:t>
      </w:r>
      <w:r w:rsidRPr="00B175B1">
        <w:t>Hlásné a předpovědní povodňové služby</w:t>
      </w:r>
      <w:r>
        <w:t xml:space="preserve"> (HPPS). </w:t>
      </w:r>
      <w:r w:rsidRPr="00B175B1">
        <w:t xml:space="preserve">Hlavním gestorem </w:t>
      </w:r>
      <w:r>
        <w:t>HPPS je Ministerstvo životního prostředí</w:t>
      </w:r>
      <w:r w:rsidRPr="00737139">
        <w:t xml:space="preserve"> </w:t>
      </w:r>
      <w:r>
        <w:t xml:space="preserve">a ČHMÚ je jeho příspěvkovou organizací. </w:t>
      </w:r>
      <w:r w:rsidRPr="00B175B1">
        <w:t>Systém FFG-CZ</w:t>
      </w:r>
      <w:r>
        <w:t xml:space="preserve"> predikuje riziko vzniku přívalových povodní na základě informací o </w:t>
      </w:r>
      <w:r w:rsidR="00605852">
        <w:t xml:space="preserve">aktuální </w:t>
      </w:r>
      <w:r>
        <w:t xml:space="preserve">nasycenosti území vodou, informace o riziku vzniku krátkodobých srážek a podle aktuálního radarového odhadu srážek a prahových hodnot odtoku v území. Systém funguje </w:t>
      </w:r>
      <w:r w:rsidR="00605852">
        <w:t>v rámci HPPS každoročně</w:t>
      </w:r>
      <w:r>
        <w:t xml:space="preserve"> od poloviny dubna </w:t>
      </w:r>
      <w:r w:rsidR="00605852">
        <w:t>do poloviny října</w:t>
      </w:r>
      <w:r w:rsidR="00AD397B">
        <w:t xml:space="preserve"> (</w:t>
      </w:r>
      <w:r w:rsidR="00AD397B" w:rsidRPr="00AD397B">
        <w:t>http://hydro.chmi.cz/hpps/index.php</w:t>
      </w:r>
      <w:r w:rsidR="00AD397B">
        <w:t>)</w:t>
      </w:r>
      <w:r w:rsidR="00605852">
        <w:t>.</w:t>
      </w:r>
    </w:p>
    <w:p w14:paraId="1FBB5E35" w14:textId="1B3AAA17" w:rsidR="00B175B1" w:rsidRDefault="004C7B1D">
      <w:r>
        <w:t xml:space="preserve">Odhad </w:t>
      </w:r>
      <w:r w:rsidR="00810B13">
        <w:t xml:space="preserve">potenciální </w:t>
      </w:r>
      <w:r>
        <w:t xml:space="preserve">míry erozního ohrožení </w:t>
      </w:r>
      <w:r w:rsidR="00810B13">
        <w:t xml:space="preserve">zemědělských půd </w:t>
      </w:r>
      <w:r>
        <w:t xml:space="preserve">na území ČR zpracovává </w:t>
      </w:r>
      <w:r w:rsidR="00810B13">
        <w:t xml:space="preserve">Výzkumný ústav meliorací a ochrany půdy, </w:t>
      </w:r>
      <w:proofErr w:type="gramStart"/>
      <w:r w:rsidR="00810B13">
        <w:t>v.v.</w:t>
      </w:r>
      <w:proofErr w:type="gramEnd"/>
      <w:r w:rsidR="00810B13">
        <w:t xml:space="preserve">i. (VÚMOP, v.v.i.) a výsledky </w:t>
      </w:r>
      <w:r w:rsidR="00810B13" w:rsidRPr="009B04B8">
        <w:t>spravuje</w:t>
      </w:r>
      <w:r w:rsidR="00810B13">
        <w:t xml:space="preserve"> v informačním systému SOWAC-GIS</w:t>
      </w:r>
      <w:r w:rsidR="006D11EE">
        <w:t xml:space="preserve"> a v upravené podobě jsou dostupné i na portálu LPIS</w:t>
      </w:r>
      <w:r w:rsidR="00810B13">
        <w:t xml:space="preserve">. </w:t>
      </w:r>
      <w:r w:rsidR="007A056D">
        <w:t>S</w:t>
      </w:r>
      <w:r w:rsidR="00810B13">
        <w:t xml:space="preserve">polu se </w:t>
      </w:r>
      <w:r w:rsidR="008E4593">
        <w:t xml:space="preserve">Státním pozemkovým úřadem (SPÚ ) provozuje </w:t>
      </w:r>
      <w:r w:rsidR="007A056D">
        <w:t xml:space="preserve">VÚMOP, </w:t>
      </w:r>
      <w:proofErr w:type="spellStart"/>
      <w:proofErr w:type="gramStart"/>
      <w:r w:rsidR="007A056D">
        <w:t>v.v.</w:t>
      </w:r>
      <w:proofErr w:type="gramEnd"/>
      <w:r w:rsidR="007A056D">
        <w:t>i</w:t>
      </w:r>
      <w:proofErr w:type="spellEnd"/>
      <w:r w:rsidR="007A056D">
        <w:t xml:space="preserve">. také </w:t>
      </w:r>
      <w:r w:rsidR="008E4593">
        <w:t xml:space="preserve">internetový portál </w:t>
      </w:r>
      <w:r w:rsidR="008E4593" w:rsidRPr="008E4593">
        <w:rPr>
          <w:bCs/>
        </w:rPr>
        <w:t xml:space="preserve">Monitoring eroze zemědělské půdy, který slouží </w:t>
      </w:r>
      <w:r w:rsidR="00810B13" w:rsidRPr="008E4593">
        <w:rPr>
          <w:bCs/>
        </w:rPr>
        <w:t>k hlášení</w:t>
      </w:r>
      <w:r w:rsidR="00810B13">
        <w:t xml:space="preserve">, evidenci a vyhodnocování jednotlivých </w:t>
      </w:r>
      <w:r w:rsidR="006D11EE">
        <w:t xml:space="preserve">významných </w:t>
      </w:r>
      <w:r w:rsidR="00810B13">
        <w:t>erozních</w:t>
      </w:r>
      <w:r w:rsidR="006D11EE">
        <w:t xml:space="preserve"> </w:t>
      </w:r>
      <w:r w:rsidR="00810B13">
        <w:t>událostí</w:t>
      </w:r>
      <w:r w:rsidR="008E4593">
        <w:t xml:space="preserve"> na území České republiky</w:t>
      </w:r>
      <w:r w:rsidR="00810B13">
        <w:t xml:space="preserve">. </w:t>
      </w:r>
    </w:p>
    <w:p w14:paraId="7219DA50" w14:textId="77777777" w:rsidR="00470E2F" w:rsidRDefault="00470E2F" w:rsidP="00470E2F">
      <w:r w:rsidRPr="00470E2F">
        <w:t>Na</w:t>
      </w:r>
      <w:r>
        <w:t xml:space="preserve"> odstraňování</w:t>
      </w:r>
      <w:r w:rsidRPr="00470E2F">
        <w:t xml:space="preserve"> následků </w:t>
      </w:r>
      <w:r>
        <w:t xml:space="preserve">přívalových srážek a transportu erodovaného sedimentu se v postižených územích podílejí složky Integrovaného záchranného systému (IZS) a řešení následků těchto jevů spadá i do působnosti MV, MO, </w:t>
      </w:r>
      <w:r w:rsidRPr="00470E2F">
        <w:t>MD, MPO, MZ</w:t>
      </w:r>
      <w:r>
        <w:t xml:space="preserve"> a</w:t>
      </w:r>
      <w:r w:rsidRPr="00470E2F">
        <w:t xml:space="preserve"> </w:t>
      </w:r>
      <w:proofErr w:type="spellStart"/>
      <w:r w:rsidRPr="00470E2F">
        <w:t>MZe</w:t>
      </w:r>
      <w:proofErr w:type="spellEnd"/>
      <w:r>
        <w:t>.</w:t>
      </w:r>
    </w:p>
    <w:p w14:paraId="64D91EB4" w14:textId="77777777" w:rsidR="00EC1C04" w:rsidRPr="005D33F6" w:rsidRDefault="005D33F6" w:rsidP="00470E2F">
      <w:pPr>
        <w:rPr>
          <w:b/>
        </w:rPr>
      </w:pPr>
      <w:r w:rsidRPr="005D33F6">
        <w:rPr>
          <w:b/>
        </w:rPr>
        <w:t>Indikátory</w:t>
      </w:r>
    </w:p>
    <w:p w14:paraId="787BD21A" w14:textId="533E561C" w:rsidR="00D42060" w:rsidRDefault="00D42060" w:rsidP="00470E2F">
      <w:r>
        <w:t xml:space="preserve">V současné době je provozován </w:t>
      </w:r>
      <w:r w:rsidRPr="00B175B1">
        <w:t>Systém FFG-CZ – Indikátor přívalových povodní</w:t>
      </w:r>
      <w:r>
        <w:t>, který provozuje ČHMÚ. Tento systém umožňuje na základě několika meteorologických a hydrologických charakteristik predikovat riziko vzniku přívalových povodní</w:t>
      </w:r>
      <w:r w:rsidR="00301522">
        <w:t>. Systém je provozován</w:t>
      </w:r>
      <w:r>
        <w:t xml:space="preserve"> </w:t>
      </w:r>
      <w:r w:rsidR="00BA3CF2">
        <w:t xml:space="preserve">každoročně </w:t>
      </w:r>
      <w:r>
        <w:t>v období od poloviny dubna do poloviny října.</w:t>
      </w:r>
    </w:p>
    <w:p w14:paraId="4138332B" w14:textId="77777777" w:rsidR="00D42060" w:rsidRDefault="006E0444" w:rsidP="00470E2F">
      <w:r>
        <w:t>Pro evidenci a hodnocení událostí spojených s erozí zemědělské půdy je provozován s</w:t>
      </w:r>
      <w:r w:rsidR="00BA3CF2">
        <w:t xml:space="preserve">pecializovaný portál </w:t>
      </w:r>
      <w:r w:rsidR="00BA3CF2" w:rsidRPr="008E4593">
        <w:rPr>
          <w:bCs/>
        </w:rPr>
        <w:t>Monitoring eroze zemědělské půdy</w:t>
      </w:r>
      <w:r>
        <w:rPr>
          <w:bCs/>
        </w:rPr>
        <w:t>, jako společný projekt</w:t>
      </w:r>
      <w:r w:rsidR="00BA3CF2">
        <w:t xml:space="preserve"> </w:t>
      </w:r>
      <w:r>
        <w:t>Státního pozemkového úřadu a</w:t>
      </w:r>
      <w:r w:rsidR="00BA3CF2">
        <w:t xml:space="preserve"> VÚMOP, </w:t>
      </w:r>
      <w:proofErr w:type="gramStart"/>
      <w:r w:rsidR="00BA3CF2">
        <w:t>v.v.</w:t>
      </w:r>
      <w:proofErr w:type="gramEnd"/>
      <w:r w:rsidR="00BA3CF2">
        <w:t xml:space="preserve">i. </w:t>
      </w:r>
      <w:r>
        <w:t xml:space="preserve">Projekt </w:t>
      </w:r>
      <w:r w:rsidR="00BA3CF2">
        <w:t xml:space="preserve">umožňuje monitorovat konkrétní erozní události a hodnotit jejich negativní vliv na zemědělské pozemky, ohrožení obcí případně </w:t>
      </w:r>
      <w:r>
        <w:t xml:space="preserve">posuzovat </w:t>
      </w:r>
      <w:r w:rsidR="00BA3CF2">
        <w:t>další negativní efekty na životní prostředí.</w:t>
      </w:r>
    </w:p>
    <w:p w14:paraId="240FDF0D" w14:textId="197A4119" w:rsidR="00BA3CF2" w:rsidRDefault="00340BCB" w:rsidP="00470E2F">
      <w:r>
        <w:t>Specifickým indikátorem, který by mohl být obecně používán jak pro současné podmínky, tak pro změněné podmínky intenzity přívalových srážek, spojené s očekávanou změnou klimatu, je koncept identifikace kritických bodů. Kritický bod je</w:t>
      </w:r>
      <w:r w:rsidR="00C555A7">
        <w:t xml:space="preserve"> v této souvislosti</w:t>
      </w:r>
      <w:r>
        <w:t xml:space="preserve"> obecně definován jako místo, kde dochází k negativnímu působení eroze a transportovaného sedimentu na objekty a zájmové prvky v krajině. Takovými prvky mohou být např. vodní útvary, využívané pro odběr surové vody, vybraná chráněná území, </w:t>
      </w:r>
      <w:proofErr w:type="spellStart"/>
      <w:r>
        <w:t>intravilán</w:t>
      </w:r>
      <w:r w:rsidR="00C555A7">
        <w:t>y</w:t>
      </w:r>
      <w:proofErr w:type="spellEnd"/>
      <w:r>
        <w:t xml:space="preserve"> obcí případně </w:t>
      </w:r>
      <w:r w:rsidR="00A109D3">
        <w:t xml:space="preserve">prvky kritické infrastruktury. Kritické body mohou být klasifikovány kategoriemi podle intenzity procesu eroze a transportu sedimentu (hrozby) a současně také kategoriemi zranitelnosti podle významnosti ohroženého prvku v krajině. Výsledkem </w:t>
      </w:r>
      <w:r w:rsidR="00301522">
        <w:t xml:space="preserve">kombinace </w:t>
      </w:r>
      <w:r w:rsidR="00A109D3">
        <w:t xml:space="preserve">hrozby a zranitelnosti ve vztahu ke konkrétnímu prvku vzniká </w:t>
      </w:r>
      <w:r w:rsidR="00301522">
        <w:t xml:space="preserve">ucelený systém, který </w:t>
      </w:r>
      <w:r w:rsidR="006E0444">
        <w:t xml:space="preserve">umožňuje kategorizovat </w:t>
      </w:r>
      <w:r w:rsidR="00301522">
        <w:t>ohrožená míst</w:t>
      </w:r>
      <w:r w:rsidR="007378CC">
        <w:t>a</w:t>
      </w:r>
      <w:r w:rsidR="00301522">
        <w:t xml:space="preserve"> na území ČR</w:t>
      </w:r>
      <w:r w:rsidR="00C555A7">
        <w:t xml:space="preserve"> podle rizika</w:t>
      </w:r>
      <w:r w:rsidR="00301522">
        <w:t xml:space="preserve"> a podle typu prvku přijímat adekvátní opatření. Takový systém hodnocení celého území ČR je v současné době vyvíjen v rámci výzkumného projektu programu Bezpečnostního výzkumu Ministerstva vnitra</w:t>
      </w:r>
      <w:r w:rsidR="006E0444">
        <w:t>, který je řešen</w:t>
      </w:r>
      <w:r w:rsidR="00301522">
        <w:t xml:space="preserve"> </w:t>
      </w:r>
      <w:r w:rsidR="006E0444">
        <w:t xml:space="preserve">ve spolupráci </w:t>
      </w:r>
      <w:r w:rsidR="006E0444">
        <w:lastRenderedPageBreak/>
        <w:t xml:space="preserve">Výzkumného ústavu vodohospodářského T. G. Masaryka, </w:t>
      </w:r>
      <w:proofErr w:type="gramStart"/>
      <w:r w:rsidR="006E0444">
        <w:t>v.v.</w:t>
      </w:r>
      <w:proofErr w:type="gramEnd"/>
      <w:r w:rsidR="006E0444">
        <w:t>i. a ČVUT v Praze (projekt VG20122015092). Jeho výsledky budou finalizovány na konci roku 2015.</w:t>
      </w:r>
      <w:r w:rsidR="00301522">
        <w:t xml:space="preserve"> </w:t>
      </w:r>
    </w:p>
    <w:p w14:paraId="0FECB4D1" w14:textId="77777777" w:rsidR="00D42060" w:rsidRDefault="006E0444" w:rsidP="00470E2F">
      <w:r>
        <w:t xml:space="preserve">Na základě kombinace </w:t>
      </w:r>
      <w:r w:rsidR="00F769AE">
        <w:t xml:space="preserve">Systému </w:t>
      </w:r>
      <w:r>
        <w:t xml:space="preserve">kritických bodů s aktuálními predikcemi ze </w:t>
      </w:r>
      <w:r w:rsidRPr="00B175B1">
        <w:t>Systému FFG-CZ</w:t>
      </w:r>
      <w:r>
        <w:t xml:space="preserve"> (ČHMÚ) bude možné adresněji predikovat </w:t>
      </w:r>
      <w:r w:rsidR="00F769AE">
        <w:t>okamžitá rizika spojená s přívalovými srážkami.</w:t>
      </w:r>
    </w:p>
    <w:p w14:paraId="06E16728" w14:textId="77777777" w:rsidR="005D33F6" w:rsidRPr="005D33F6" w:rsidRDefault="005D33F6" w:rsidP="00470E2F">
      <w:pPr>
        <w:rPr>
          <w:b/>
        </w:rPr>
      </w:pPr>
      <w:r w:rsidRPr="005D33F6">
        <w:rPr>
          <w:b/>
        </w:rPr>
        <w:t>Opatření</w:t>
      </w:r>
    </w:p>
    <w:p w14:paraId="103F29F9" w14:textId="276515AB" w:rsidR="004E2A45" w:rsidRDefault="00EC12B1" w:rsidP="004E2A45">
      <w:r>
        <w:t>K hlavním opatřením, která mohou snížit rizika spojená s</w:t>
      </w:r>
      <w:r w:rsidR="000309F5">
        <w:t xml:space="preserve"> rozvojem</w:t>
      </w:r>
      <w:r>
        <w:t> </w:t>
      </w:r>
      <w:r w:rsidR="000309F5">
        <w:t xml:space="preserve">erozních procesů na zemědělských i nezemědělských půdách </w:t>
      </w:r>
      <w:r>
        <w:t>a transportem</w:t>
      </w:r>
      <w:r w:rsidR="000309F5">
        <w:t xml:space="preserve"> erozních splavenin</w:t>
      </w:r>
      <w:r>
        <w:t xml:space="preserve"> indukovaných přívalovými srážkami</w:t>
      </w:r>
      <w:r w:rsidR="00895516">
        <w:t>,</w:t>
      </w:r>
      <w:r>
        <w:t xml:space="preserve"> patří účinné </w:t>
      </w:r>
      <w:r w:rsidR="00895516">
        <w:t xml:space="preserve">uplatnění protierozních opatření </w:t>
      </w:r>
      <w:r w:rsidR="00A03944">
        <w:t xml:space="preserve">v rámci komplexních pozemkových úprav </w:t>
      </w:r>
      <w:r w:rsidR="00895516">
        <w:t>v </w:t>
      </w:r>
      <w:r w:rsidR="000309F5">
        <w:t xml:space="preserve">povodích </w:t>
      </w:r>
      <w:r w:rsidR="00895516">
        <w:t>identifikovaných kritick</w:t>
      </w:r>
      <w:r w:rsidR="000309F5">
        <w:t>ých</w:t>
      </w:r>
      <w:r w:rsidR="00895516">
        <w:t xml:space="preserve"> bod</w:t>
      </w:r>
      <w:r w:rsidR="000309F5">
        <w:t>ů</w:t>
      </w:r>
      <w:r w:rsidR="00895516">
        <w:t xml:space="preserve"> a </w:t>
      </w:r>
      <w:r w:rsidR="00EF4C58">
        <w:t xml:space="preserve">zejména </w:t>
      </w:r>
      <w:r w:rsidR="00895516">
        <w:t>na pozemcích které je přímo ovlivňují</w:t>
      </w:r>
      <w:r w:rsidR="000309F5">
        <w:t xml:space="preserve">, stejně jako přímo v bezprostředním okolí kritických bodů – tedy místech vniknutí povrchového odtoku zatíženého splaveninami do </w:t>
      </w:r>
      <w:proofErr w:type="spellStart"/>
      <w:r w:rsidR="000309F5">
        <w:t>intravilánů</w:t>
      </w:r>
      <w:proofErr w:type="spellEnd"/>
      <w:r w:rsidR="000309F5">
        <w:t xml:space="preserve"> a dalších ohrožených lokalit</w:t>
      </w:r>
      <w:r w:rsidR="00895516">
        <w:t>.</w:t>
      </w:r>
      <w:r w:rsidR="00A03944">
        <w:t xml:space="preserve"> Na takové pozemky by měl</w:t>
      </w:r>
      <w:r w:rsidR="00EF4C58">
        <w:t>y</w:t>
      </w:r>
      <w:r w:rsidR="00A03944">
        <w:t xml:space="preserve"> být </w:t>
      </w:r>
      <w:r w:rsidR="004E2A45">
        <w:t>uplatňovány striktnější požadavky na přípustnou míru eroze a přednostně by na nich měl</w:t>
      </w:r>
      <w:r w:rsidR="00EF4C58">
        <w:t>a</w:t>
      </w:r>
      <w:r w:rsidR="004E2A45">
        <w:t xml:space="preserve"> být uplatňována opatření z nového Plánu rozvoje venkova na období 2014-2020 v rámci </w:t>
      </w:r>
      <w:proofErr w:type="spellStart"/>
      <w:r w:rsidR="004E2A45">
        <w:t>Agroenviromentálních</w:t>
      </w:r>
      <w:proofErr w:type="spellEnd"/>
      <w:r w:rsidR="004E2A45">
        <w:t xml:space="preserve"> opatření (d</w:t>
      </w:r>
      <w:r w:rsidR="004E2A45" w:rsidRPr="004E2A45">
        <w:t xml:space="preserve">otace na provádění pozemkových úprav a na </w:t>
      </w:r>
      <w:proofErr w:type="spellStart"/>
      <w:r w:rsidR="004E2A45" w:rsidRPr="004E2A45">
        <w:t>agroenvironmentální</w:t>
      </w:r>
      <w:proofErr w:type="spellEnd"/>
      <w:r w:rsidR="004E2A45" w:rsidRPr="004E2A45">
        <w:t xml:space="preserve"> opatření, platby za tzv. ozelenění neboli </w:t>
      </w:r>
      <w:proofErr w:type="spellStart"/>
      <w:r w:rsidR="004E2A45" w:rsidRPr="004E2A45">
        <w:t>greening</w:t>
      </w:r>
      <w:proofErr w:type="spellEnd"/>
      <w:r w:rsidR="004E2A45">
        <w:t>)</w:t>
      </w:r>
      <w:r w:rsidR="003B11BD">
        <w:t>.</w:t>
      </w:r>
    </w:p>
    <w:p w14:paraId="6239F106" w14:textId="03F13989" w:rsidR="00FA24B0" w:rsidRPr="004E2A45" w:rsidRDefault="00196604" w:rsidP="004E2A45">
      <w:r>
        <w:t>Ke</w:t>
      </w:r>
      <w:r w:rsidR="006B7C9D">
        <w:t xml:space="preserve"> snížení rizika eroze zemědělské půdy a </w:t>
      </w:r>
      <w:r>
        <w:t>omezení</w:t>
      </w:r>
      <w:r w:rsidR="006B7C9D">
        <w:t xml:space="preserve"> </w:t>
      </w:r>
      <w:r>
        <w:t xml:space="preserve">negativním důsledkům transportu sedimentu by bezesporu přispělo zavedení </w:t>
      </w:r>
      <w:r w:rsidR="00FA24B0">
        <w:t>hmotn</w:t>
      </w:r>
      <w:r>
        <w:t>é</w:t>
      </w:r>
      <w:r w:rsidR="00FA24B0">
        <w:t xml:space="preserve"> odpovědnost</w:t>
      </w:r>
      <w:r>
        <w:t>i</w:t>
      </w:r>
      <w:r w:rsidR="00FA24B0">
        <w:t xml:space="preserve"> zemědělských subjektů za škody vzniklé</w:t>
      </w:r>
      <w:r w:rsidR="00AB4746">
        <w:t xml:space="preserve"> zejména mimo vlastní pozemek (tzv. </w:t>
      </w:r>
      <w:proofErr w:type="spellStart"/>
      <w:r w:rsidR="00AB4746">
        <w:t>off-site</w:t>
      </w:r>
      <w:proofErr w:type="spellEnd"/>
      <w:r w:rsidR="00AB4746">
        <w:t xml:space="preserve"> efekty)</w:t>
      </w:r>
      <w:r w:rsidR="00FA24B0">
        <w:t xml:space="preserve"> díky zvýšenému povrchovému odtoku a transportu splavenin následkem nevhodného způsobu hospodaření</w:t>
      </w:r>
      <w:r>
        <w:t>, které by bylo zakotveno v prováděcí vyhlášce k zákonu 334/1992 Sb. o ochraně zemědělského půdního fondu.</w:t>
      </w:r>
    </w:p>
    <w:p w14:paraId="63E05C87" w14:textId="77777777" w:rsidR="00895516" w:rsidRDefault="003B11BD" w:rsidP="00470E2F">
      <w:r>
        <w:t xml:space="preserve">Významný </w:t>
      </w:r>
      <w:r w:rsidR="00EF4C58">
        <w:t>přínos</w:t>
      </w:r>
      <w:r>
        <w:t xml:space="preserve"> pro </w:t>
      </w:r>
      <w:r w:rsidR="00EF4C58">
        <w:t xml:space="preserve">zpřesnění predikce rizika negativních dopadů přívalových srážek by </w:t>
      </w:r>
      <w:r w:rsidR="00FA24B0">
        <w:t>znamenalo</w:t>
      </w:r>
      <w:r w:rsidR="00EF4C58">
        <w:t xml:space="preserve"> propojení systému identifikace kritických bodů se systémem </w:t>
      </w:r>
      <w:r w:rsidR="00EF4C58" w:rsidRPr="00B175B1">
        <w:t>FFG-CZ – Indikátor přívalových povodní</w:t>
      </w:r>
      <w:r w:rsidR="00EF4C58">
        <w:t>, který provozuje ČHMÚ.</w:t>
      </w:r>
    </w:p>
    <w:p w14:paraId="314A8FB8" w14:textId="77777777" w:rsidR="005D33F6" w:rsidRDefault="005D33F6" w:rsidP="00470E2F"/>
    <w:p w14:paraId="1478562B" w14:textId="77777777" w:rsidR="00EC1C04" w:rsidRDefault="00EC1C04" w:rsidP="00470E2F">
      <w:r>
        <w:t xml:space="preserve">Zpracovali: Mgr. Pavel Rosendorf, Ing. Martin </w:t>
      </w:r>
      <w:proofErr w:type="spellStart"/>
      <w:r>
        <w:t>Hanel</w:t>
      </w:r>
      <w:proofErr w:type="spellEnd"/>
      <w:r>
        <w:t xml:space="preserve">, Ph.D. (VÚV TGM, </w:t>
      </w:r>
      <w:proofErr w:type="gramStart"/>
      <w:r>
        <w:t>v.v.</w:t>
      </w:r>
      <w:proofErr w:type="gramEnd"/>
      <w:r>
        <w:t>i.) a Doc. Dr. Ing. Tomáš Dostál (ČVUT v Praze, Fakulta stavební)</w:t>
      </w:r>
    </w:p>
    <w:p w14:paraId="62C000ED" w14:textId="7AF07A1B" w:rsidR="00C33BAB" w:rsidRDefault="00C33BAB">
      <w:r>
        <w:br w:type="page"/>
      </w:r>
    </w:p>
    <w:p w14:paraId="7689613B" w14:textId="550C1C0D" w:rsidR="00C33BAB" w:rsidRDefault="00C33BAB" w:rsidP="00470E2F">
      <w:r>
        <w:rPr>
          <w:noProof/>
          <w:lang w:eastAsia="cs-CZ"/>
        </w:rPr>
        <w:lastRenderedPageBreak/>
        <w:drawing>
          <wp:inline distT="0" distB="0" distL="0" distR="0" wp14:anchorId="4C9D035A" wp14:editId="04CA545B">
            <wp:extent cx="5886450" cy="8361671"/>
            <wp:effectExtent l="19050" t="19050" r="19050" b="209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310" t="7078" r="25849" b="1141"/>
                    <a:stretch/>
                  </pic:blipFill>
                  <pic:spPr bwMode="auto">
                    <a:xfrm>
                      <a:off x="0" y="0"/>
                      <a:ext cx="5892599" cy="8370406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3BAB" w:rsidSect="001B7A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9E58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0A9B" w14:textId="77777777" w:rsidR="00DB5052" w:rsidRDefault="00DB5052" w:rsidP="00061CA4">
      <w:pPr>
        <w:spacing w:after="0" w:line="240" w:lineRule="auto"/>
      </w:pPr>
      <w:r>
        <w:separator/>
      </w:r>
    </w:p>
  </w:endnote>
  <w:endnote w:type="continuationSeparator" w:id="0">
    <w:p w14:paraId="4F8CB238" w14:textId="77777777" w:rsidR="00DB5052" w:rsidRDefault="00DB5052" w:rsidP="0006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914056"/>
      <w:docPartObj>
        <w:docPartGallery w:val="Page Numbers (Bottom of Page)"/>
        <w:docPartUnique/>
      </w:docPartObj>
    </w:sdtPr>
    <w:sdtEndPr/>
    <w:sdtContent>
      <w:p w14:paraId="2B0BECE5" w14:textId="2473A5E6" w:rsidR="0078258D" w:rsidRDefault="007825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B4">
          <w:rPr>
            <w:noProof/>
          </w:rPr>
          <w:t>1</w:t>
        </w:r>
        <w:r>
          <w:fldChar w:fldCharType="end"/>
        </w:r>
      </w:p>
    </w:sdtContent>
  </w:sdt>
  <w:p w14:paraId="5FA41660" w14:textId="77777777" w:rsidR="0078258D" w:rsidRDefault="007825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B7148" w14:textId="77777777" w:rsidR="00DB5052" w:rsidRDefault="00DB5052" w:rsidP="00061CA4">
      <w:pPr>
        <w:spacing w:after="0" w:line="240" w:lineRule="auto"/>
      </w:pPr>
      <w:r>
        <w:separator/>
      </w:r>
    </w:p>
  </w:footnote>
  <w:footnote w:type="continuationSeparator" w:id="0">
    <w:p w14:paraId="3220B704" w14:textId="77777777" w:rsidR="00DB5052" w:rsidRDefault="00DB5052" w:rsidP="00061CA4">
      <w:pPr>
        <w:spacing w:after="0" w:line="240" w:lineRule="auto"/>
      </w:pPr>
      <w:r>
        <w:continuationSeparator/>
      </w:r>
    </w:p>
  </w:footnote>
  <w:footnote w:id="1">
    <w:p w14:paraId="79B72D40" w14:textId="77777777" w:rsidR="009B04B8" w:rsidRDefault="009B04B8" w:rsidP="009B04B8">
      <w:pPr>
        <w:pStyle w:val="Textpoznpodarou"/>
      </w:pPr>
      <w:r>
        <w:rPr>
          <w:rStyle w:val="Znakapoznpodarou"/>
        </w:rPr>
        <w:footnoteRef/>
      </w:r>
      <w:r>
        <w:t xml:space="preserve"> Zákon č. 254/2001., o vodách a o změně některých zákonů (vodní zákon), ve znění pozdějších předpisů.</w:t>
      </w:r>
    </w:p>
  </w:footnote>
  <w:footnote w:id="2">
    <w:p w14:paraId="034FEEA8" w14:textId="77777777" w:rsidR="009B04B8" w:rsidRDefault="009B04B8" w:rsidP="009B04B8">
      <w:pPr>
        <w:pStyle w:val="Textpoznpodarou"/>
      </w:pPr>
      <w:r>
        <w:rPr>
          <w:rStyle w:val="Znakapoznpodarou"/>
        </w:rPr>
        <w:footnoteRef/>
      </w:r>
      <w:r>
        <w:t xml:space="preserve"> Metodický pokyn č. 9 odboru ochrany vod Ministerstva životního prostředí k zabezpečení hlásné a předpovědní povodňové služby, Věstník Ministerstva životního prostředí, ročník XXI, částka 12, prosinec 2011.</w:t>
      </w:r>
    </w:p>
  </w:footnote>
  <w:footnote w:id="3">
    <w:p w14:paraId="2C8366FE" w14:textId="77777777" w:rsidR="00061CA4" w:rsidRDefault="00061CA4">
      <w:pPr>
        <w:pStyle w:val="Textpoznpodarou"/>
      </w:pPr>
      <w:r>
        <w:rPr>
          <w:rStyle w:val="Znakapoznpodarou"/>
        </w:rPr>
        <w:footnoteRef/>
      </w:r>
      <w:r>
        <w:t xml:space="preserve"> Metodický pokyn č. 9 odboru ochrany vod Ministerstva životního prostředí k zabezpečení hlásné a předpovědní povodňové služby, Věstník Ministerstva životního prostředí, ročník XXI, částka 12, prosinec 2011.</w:t>
      </w:r>
    </w:p>
  </w:footnote>
  <w:footnote w:id="4">
    <w:p w14:paraId="4812EE73" w14:textId="77777777" w:rsidR="001471C6" w:rsidRDefault="001471C6">
      <w:pPr>
        <w:pStyle w:val="Textpoznpodarou"/>
      </w:pPr>
      <w:r>
        <w:rPr>
          <w:rStyle w:val="Znakapoznpodarou"/>
        </w:rPr>
        <w:footnoteRef/>
      </w:r>
      <w:r>
        <w:t xml:space="preserve"> Zákon České národní rady č. 334/1992 Sb., o ochraně zemědělského půdního fondu</w:t>
      </w:r>
    </w:p>
  </w:footnote>
  <w:footnote w:id="5">
    <w:p w14:paraId="195289E5" w14:textId="77777777" w:rsidR="001471C6" w:rsidRDefault="001471C6">
      <w:pPr>
        <w:pStyle w:val="Textpoznpodarou"/>
      </w:pPr>
      <w:r>
        <w:rPr>
          <w:rStyle w:val="Znakapoznpodarou"/>
        </w:rPr>
        <w:footnoteRef/>
      </w:r>
      <w:r>
        <w:t xml:space="preserve"> Nařízení Rady (ES) č. 73/2009 ze dne 19. ledna 2009, kterým se stanoví společná pravidla pro režimy přímých podpor v rámci společné zemědělské politiky a kterým se zavádějí některé režimy podpor pro zemědělce a kterým se mění nařízení (ES) č. 1290/2005, (ES) č. 247/2006, (ES) č. 378/2007 a zrušuje nařízení (ES) č. 1782/2003.</w:t>
      </w:r>
    </w:p>
  </w:footnote>
  <w:footnote w:id="6">
    <w:p w14:paraId="0E80E10C" w14:textId="77777777" w:rsidR="005C3949" w:rsidRDefault="005C3949">
      <w:pPr>
        <w:pStyle w:val="Textpoznpodarou"/>
      </w:pPr>
      <w:r>
        <w:rPr>
          <w:rStyle w:val="Znakapoznpodarou"/>
        </w:rPr>
        <w:footnoteRef/>
      </w:r>
      <w:r>
        <w:t xml:space="preserve"> Směrnice Rady 676/91/EHS ze dne 12. prosince 1991 o ochraně vod před znečištěním dusičnany ze zemědělských zdrojů</w:t>
      </w:r>
    </w:p>
  </w:footnote>
  <w:footnote w:id="7">
    <w:p w14:paraId="01464E73" w14:textId="77777777" w:rsidR="00525246" w:rsidRDefault="00525246">
      <w:pPr>
        <w:pStyle w:val="Textpoznpodarou"/>
      </w:pPr>
      <w:r>
        <w:rPr>
          <w:rStyle w:val="Znakapoznpodarou"/>
        </w:rPr>
        <w:footnoteRef/>
      </w:r>
      <w:r>
        <w:t xml:space="preserve"> Nařízení vlády č. 479/2009 Sb., o stanovení důsledků porušení podmíněnosti poskytování některých podpor, ve znění pozdějších předpisů.</w:t>
      </w:r>
    </w:p>
  </w:footnote>
  <w:footnote w:id="8">
    <w:p w14:paraId="013C3107" w14:textId="77777777" w:rsidR="009B04B8" w:rsidRPr="009B04B8" w:rsidRDefault="009B04B8">
      <w:pPr>
        <w:pStyle w:val="Textpoznpodarou"/>
      </w:pPr>
      <w:r>
        <w:rPr>
          <w:rStyle w:val="Znakapoznpodarou"/>
        </w:rPr>
        <w:footnoteRef/>
      </w:r>
      <w:r>
        <w:t xml:space="preserve"> Zákon č. 139/2002 Sb. ze dne 21. </w:t>
      </w:r>
      <w:r w:rsidRPr="009B04B8">
        <w:t xml:space="preserve">března 2002 </w:t>
      </w:r>
      <w:r w:rsidRPr="009B04B8">
        <w:rPr>
          <w:iCs/>
        </w:rPr>
        <w:t>o pozemkových úpravách a pozemkových úřadech a o změně zákona č. 229/1991 Sb., o úpravě vlastnických vztahů k půdě a jinému zemědělskému majetku, ve znění pozdějších předpisů</w:t>
      </w:r>
      <w:r w:rsidRPr="009B04B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7BAC" w14:textId="53C9991E" w:rsidR="00EF65BB" w:rsidRPr="00EF65BB" w:rsidRDefault="00EF65BB">
    <w:pPr>
      <w:pStyle w:val="Zhlav"/>
      <w:rPr>
        <w:b/>
      </w:rPr>
    </w:pPr>
    <w:r w:rsidRPr="00EF65BB">
      <w:rPr>
        <w:b/>
      </w:rPr>
      <w:t>Příloha 1.1 k závěrečné zprávě projektu VG20122015092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4101"/>
    <w:multiLevelType w:val="multilevel"/>
    <w:tmpl w:val="EAA2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Dostál">
    <w15:presenceInfo w15:providerId="Windows Live" w15:userId="18880a6e957052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9E"/>
    <w:rsid w:val="000019BB"/>
    <w:rsid w:val="000309F5"/>
    <w:rsid w:val="00061CA4"/>
    <w:rsid w:val="000E63E3"/>
    <w:rsid w:val="001471C6"/>
    <w:rsid w:val="00175A28"/>
    <w:rsid w:val="00196604"/>
    <w:rsid w:val="001B7A76"/>
    <w:rsid w:val="00252181"/>
    <w:rsid w:val="002751D1"/>
    <w:rsid w:val="002D1142"/>
    <w:rsid w:val="00301522"/>
    <w:rsid w:val="00340509"/>
    <w:rsid w:val="00340BCB"/>
    <w:rsid w:val="00357D15"/>
    <w:rsid w:val="00367012"/>
    <w:rsid w:val="003A7D67"/>
    <w:rsid w:val="003B0400"/>
    <w:rsid w:val="003B0B68"/>
    <w:rsid w:val="003B11BD"/>
    <w:rsid w:val="00470E2F"/>
    <w:rsid w:val="004979AA"/>
    <w:rsid w:val="004C7B1D"/>
    <w:rsid w:val="004E2A45"/>
    <w:rsid w:val="00525246"/>
    <w:rsid w:val="0054539F"/>
    <w:rsid w:val="0054569E"/>
    <w:rsid w:val="005535BF"/>
    <w:rsid w:val="005B1B33"/>
    <w:rsid w:val="005C3949"/>
    <w:rsid w:val="005D33F6"/>
    <w:rsid w:val="00605852"/>
    <w:rsid w:val="00656F6C"/>
    <w:rsid w:val="006763CB"/>
    <w:rsid w:val="006B2EE8"/>
    <w:rsid w:val="006B7C9D"/>
    <w:rsid w:val="006D11EE"/>
    <w:rsid w:val="006E0444"/>
    <w:rsid w:val="006E4D13"/>
    <w:rsid w:val="006F3845"/>
    <w:rsid w:val="0071538D"/>
    <w:rsid w:val="00737139"/>
    <w:rsid w:val="007378CC"/>
    <w:rsid w:val="0078258D"/>
    <w:rsid w:val="007A056D"/>
    <w:rsid w:val="00810B13"/>
    <w:rsid w:val="00895516"/>
    <w:rsid w:val="008B5415"/>
    <w:rsid w:val="008D0D7C"/>
    <w:rsid w:val="008E4593"/>
    <w:rsid w:val="00925152"/>
    <w:rsid w:val="00944C5C"/>
    <w:rsid w:val="009B04B8"/>
    <w:rsid w:val="009E4D6E"/>
    <w:rsid w:val="00A03944"/>
    <w:rsid w:val="00A109D3"/>
    <w:rsid w:val="00A6664E"/>
    <w:rsid w:val="00AB4746"/>
    <w:rsid w:val="00AC5B26"/>
    <w:rsid w:val="00AD397B"/>
    <w:rsid w:val="00B175B1"/>
    <w:rsid w:val="00BA3CF2"/>
    <w:rsid w:val="00C33BAB"/>
    <w:rsid w:val="00C5384A"/>
    <w:rsid w:val="00C555A7"/>
    <w:rsid w:val="00CC2C10"/>
    <w:rsid w:val="00CD65B4"/>
    <w:rsid w:val="00D42060"/>
    <w:rsid w:val="00DA19C7"/>
    <w:rsid w:val="00DB5052"/>
    <w:rsid w:val="00DC36AA"/>
    <w:rsid w:val="00E87687"/>
    <w:rsid w:val="00E9180E"/>
    <w:rsid w:val="00EC12B1"/>
    <w:rsid w:val="00EC1C04"/>
    <w:rsid w:val="00EF4C58"/>
    <w:rsid w:val="00EF65BB"/>
    <w:rsid w:val="00F51F1F"/>
    <w:rsid w:val="00F769AE"/>
    <w:rsid w:val="00FA24B0"/>
    <w:rsid w:val="00FA7CB2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E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2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1C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1C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1CA4"/>
    <w:rPr>
      <w:vertAlign w:val="superscript"/>
    </w:rPr>
  </w:style>
  <w:style w:type="character" w:styleId="Siln">
    <w:name w:val="Strong"/>
    <w:basedOn w:val="Standardnpsmoodstavce"/>
    <w:uiPriority w:val="22"/>
    <w:qFormat/>
    <w:rsid w:val="005C394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04B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1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1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E2A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5BB"/>
  </w:style>
  <w:style w:type="paragraph" w:styleId="Zpat">
    <w:name w:val="footer"/>
    <w:basedOn w:val="Normln"/>
    <w:link w:val="ZpatChar"/>
    <w:uiPriority w:val="99"/>
    <w:unhideWhenUsed/>
    <w:rsid w:val="00EF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2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1C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1C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1CA4"/>
    <w:rPr>
      <w:vertAlign w:val="superscript"/>
    </w:rPr>
  </w:style>
  <w:style w:type="character" w:styleId="Siln">
    <w:name w:val="Strong"/>
    <w:basedOn w:val="Standardnpsmoodstavce"/>
    <w:uiPriority w:val="22"/>
    <w:qFormat/>
    <w:rsid w:val="005C394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04B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1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1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E2A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5BB"/>
  </w:style>
  <w:style w:type="paragraph" w:styleId="Zpat">
    <w:name w:val="footer"/>
    <w:basedOn w:val="Normln"/>
    <w:link w:val="ZpatChar"/>
    <w:uiPriority w:val="99"/>
    <w:unhideWhenUsed/>
    <w:rsid w:val="00EF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D44E-2520-4978-94DC-C2E59242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 T.G.M., v.v.i.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Rosendorf Pavel</dc:creator>
  <cp:lastModifiedBy>Rosendorf Pavel</cp:lastModifiedBy>
  <cp:revision>3</cp:revision>
  <dcterms:created xsi:type="dcterms:W3CDTF">2016-01-28T08:34:00Z</dcterms:created>
  <dcterms:modified xsi:type="dcterms:W3CDTF">2016-01-28T11:38:00Z</dcterms:modified>
</cp:coreProperties>
</file>